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 Mobilisation Plan and Implementation Plan</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Agreeing and following the Mobilisation and Implementation Plans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The draft Mobilisation Plan provided by the Supplier within the tender submission will be discussed between the Parties at the Initial Meeting following the Call-Off Start Date and the Parties shall use reasonable endeavours to agree the content.  The Supplier shall provide a further draft Mobilisation Plan within ten (10) Working Days of the Initial Meeting.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The draft Mobilisation Plan: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1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1.2.1 must contain information at the level of detail necessary to manage the Mobilisation Period effectively and as the Contracting Authority may otherwise require; and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1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1.2.2 it shall take account of all dependencies known to, or which should reasonably be known to, the Supplier.</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 The Supplier shall provide a draft Implementation Plan within ten (10) Working Days of the Initial Meeting and the Parties shall use reasonable endeavours to agree the contents.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 The draft Implementation Plan: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3"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 must contain information, as agreed between the Parties at the Initial Meeting, at the level of detail necessary to manage the Implementation Period effectively and as the Contracting Authority may otherwise require; and</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93"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 it shall take account of all dependencies known to, or which should reasonably be known to, the Supplier.</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   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 The Supplier shall provide each of the Deliverable Items identified in the Mobilisation and Implementation Plans by the date assigned to that Deliverable Item in the relevant  Plan so as to ensure that each Milestone identified in the Mobilisation Plan and Implementation Plan is achieved on or before its Milestone Date.</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1.7 The Supplier shall monitor its performance against the Mobilisation Plan and Implementation Plan and Milestones (if any) and report to the Contracting Authority on such performance.</w:t>
      </w:r>
    </w:p>
    <w:p w:rsidR="00000000" w:rsidDel="00000000" w:rsidP="00000000" w:rsidRDefault="00000000" w:rsidRPr="00000000" w14:paraId="0000000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Reviewing and changing the Mobilisation and Implementation Plans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Subject to Paragraph 3.3 the Supplier shall keep the Mobilisation Plan and Implementation Plans under review in accordance with the Contracting Authority’s instructions and ensure that they are updated on a regular basis.</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The Contracting Authority shall have the right to require the Supplier to include any reasonable changes or provisions in each version of the Mobilisation and Implementation Plan.</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Changes to any Milestones, Milestone Payments and Delay Payments shall only be made in accordance with the Variation Procedure.</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Time in relation to compliance with the Mobilisation Plan and Implementation Plan shall be of the essence and failure of the Supplier to comply with the Mobilisation Plan and/or Implementation Plan shall be a material Default.</w:t>
      </w:r>
    </w:p>
    <w:p w:rsidR="00000000" w:rsidDel="00000000" w:rsidP="00000000" w:rsidRDefault="00000000" w:rsidRPr="00000000" w14:paraId="0000001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 The Supplier shall note that it is incumbent upon them to understand the lead-in period for security clearances and ensure that all Supplier Staff have the necessary security clearance in place before the commencement of Initial Operating Capability. The Supplier shall ensure that this is reflected in their Mobilisation and Implementation Plans.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 The Supplier shall ensure that all Supplier Staff and Subcontractors do not access the Contracting Authorities IT systems, or any IT systems linked to the Contracting Authority, unless they have satisfied the Contracting Authority’s security requirements.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3.3 The Supplier shall be responsible for providing all necessary information to the Contracting Authority to facilitate security clearances for Supplier Staff and Subcontractors in accordance with the Contracting Authority’s requirements.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 The Supplier shall provide the names of all Supplier Staff and Subcontractors and inform the Contracting Authority of any alterations and additions as they take place throughout this Call-Off Contract.</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3.5 The Supplier shall ensure that all Supplier Staff and Subcontractors requiring access to the Contracting Authority Premises have the appropriate security clearance. It is the Supplier's responsibility to establish whether or not the level of clearance will be sufficient for access. Unless prior approval has been received from the Contracting Authority, the Supplier shall be responsible for meeting the costs associated with the provision of security cleared escort services.</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3.6 If a property requires Supplier Staff or Subcontractors to be accompanied by the Contracting Authority Authorised Representative, the Contracting Authority must be given reasonable notice of such a requirement, except in the case of emergency access.</w:t>
      </w:r>
    </w:p>
    <w:p w:rsidR="00000000" w:rsidDel="00000000" w:rsidP="00000000" w:rsidRDefault="00000000" w:rsidRPr="00000000" w14:paraId="0000001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1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 If the Supplier becomes aware that there is, or there is reasonably likely to be, a Delay under this Call-Off Contract it shall: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4.1.1 notify the Contracting Authority as soon as practically possible and no later than within two (2) Working Days from becoming aware of the Delay or anticipated Delay;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4.1.2 include in its notification an explanation of the actual or anticipated impact of the Delay;</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4.1.3 comply with the Contracting Authorities instructions in order to address the impact of the Delay or anticipated Delay; and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4.1.4 use all reasonable endeavours to eliminate or mitigate the consequences of any Delay or anticipated Delay.</w:t>
      </w:r>
    </w:p>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Mobilisation and Implementation Plans</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5.1 In accordance with the Mobilisation and Implementation Plans, the Supplier shall: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5.1.1 work cooperatively and in partnership with the Contracting Authority, any incumbent supplier, and other Framework Supplier(s), where applicable, to understand the scope of Services to ensure a mutually beneficial handover of the Services;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 The Mobilisation and Implementation Plans will include detail stating:</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5.2.1 how the Supplier will work with any incumbent Supplier and the Contracting Authority Authorised Representative to capture and load up information such as asset data; and</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5.2.2 a communications plan, to be produced and implemented by the Supplier, but to be agreed with the Contracting Authority, including the frequency, responsibility for and nature of communication with the Contracting Authority and end users of the Services.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5.3 In addition, the Supplier shall: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5.3.1 appoint a Supplier Authorised Representative who shall be responsible for the management of the Mobilisation and Implementation Periods, to ensure that the Mobilisation and Implementation Periods are planned and resourced adequately, and who will act as a point of contact for the Contracting Authority;</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5.3.2 mobilise all the Services specified in the Specification within this Call-Off Contract;</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5.3.3 manage and report progress against the Mobilisation Plan and the Implementation Plan;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5.3.4 construct and maintain a Mobilisation and Implementation Period risk and issue register in conjunction with the Contracting Authority, detailing how risks and issues will be effectively communicated to the Contracting Authority in order to mitigate them;</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5.3.5 attend progress meetings (frequency of such meetings shall be agreed between the Parties during the Mobilisation Period in accordance with the Contracting Authority’s requirements during both the Mobilisation and the Implementation Periods. Such meetings shall be chaired by the Contracting Authority and all meeting minutes shall be kept and published by the Supplier within three working days; and</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5.3.6 ensure that all risks associated with the Mobilisation and Implementation Periods are minimised to ensure a seamless change of control between any incumbent provider and the Supplier.</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Mobilisation and Implementation Periods</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Mobilisation Period will be a three (3) month period from Call-Off Start Date to the start of Initial Operating Capability.</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Period will be the period commencing from Initial Operating Capability until Full Operating Capability.</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Mobilisation Period the Supplier will not have responsibility for the provision of Temporary Healthcare Workers. The Supplier's full-service obligations shall formally be assumed at Initial Operating Capability.  </w:t>
      </w:r>
    </w:p>
    <w:p w:rsidR="00000000" w:rsidDel="00000000" w:rsidP="00000000" w:rsidRDefault="00000000" w:rsidRPr="00000000" w14:paraId="00000033">
      <w:pPr>
        <w:rPr/>
      </w:pPr>
      <w:r w:rsidDel="00000000" w:rsidR="00000000" w:rsidRPr="00000000">
        <w:rPr>
          <w:rtl w:val="0"/>
        </w:rPr>
      </w:r>
    </w:p>
    <w:sectPr>
      <w:head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Call-Off Ref: 710518450 / </w:t>
    </w:r>
    <w:r w:rsidDel="00000000" w:rsidR="00000000" w:rsidRPr="00000000">
      <w:rPr>
        <w:rFonts w:ascii="Roboto" w:cs="Roboto" w:eastAsia="Roboto" w:hAnsi="Roboto"/>
        <w:color w:val="181818"/>
        <w:sz w:val="21"/>
        <w:szCs w:val="21"/>
        <w:highlight w:val="white"/>
        <w:rtl w:val="0"/>
      </w:rPr>
      <w:t xml:space="preserve">CCSM23A02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B7280"/>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link w:val="GPSL1CLAUSEHEADINGChar"/>
    <w:qFormat w:val="1"/>
    <w:rsid w:val="005B7280"/>
    <w:pPr>
      <w:tabs>
        <w:tab w:val="left" w:pos="0"/>
      </w:tabs>
      <w:adjustRightInd w:val="0"/>
      <w:spacing w:after="240" w:before="240" w:line="240" w:lineRule="auto"/>
      <w:ind w:left="360" w:hanging="360"/>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5B7280"/>
    <w:pPr>
      <w:tabs>
        <w:tab w:val="left" w:pos="1134"/>
      </w:tabs>
      <w:adjustRightInd w:val="0"/>
      <w:spacing w:after="120" w:before="120" w:line="240" w:lineRule="auto"/>
      <w:ind w:left="644" w:hanging="360"/>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rsid w:val="005B7280"/>
    <w:pPr>
      <w:tabs>
        <w:tab w:val="clear" w:pos="1134"/>
        <w:tab w:val="left" w:pos="1985"/>
        <w:tab w:val="left" w:pos="2127"/>
      </w:tabs>
      <w:ind w:left="436" w:hanging="720"/>
    </w:pPr>
  </w:style>
  <w:style w:type="character" w:styleId="GPSL3numberedclauseChar" w:customStyle="1">
    <w:name w:val="GPS L3 numbered clause Char"/>
    <w:link w:val="GPSL3numberedclause"/>
    <w:rsid w:val="005B7280"/>
    <w:rPr>
      <w:rFonts w:ascii="Calibri" w:cs="Arial" w:eastAsia="Times New Roman" w:hAnsi="Calibri"/>
      <w:lang w:eastAsia="zh-CN"/>
    </w:rPr>
  </w:style>
  <w:style w:type="character" w:styleId="GPSL2numberedclauseChar1" w:customStyle="1">
    <w:name w:val="GPS L2 numbered clause Char1"/>
    <w:link w:val="GPSL2numberedclause"/>
    <w:rsid w:val="005B7280"/>
    <w:rPr>
      <w:rFonts w:ascii="Calibri" w:cs="Arial" w:eastAsia="Times New Roman" w:hAnsi="Calibri"/>
      <w:lang w:eastAsia="zh-CN"/>
    </w:rPr>
  </w:style>
  <w:style w:type="character" w:styleId="GPSL1CLAUSEHEADINGChar" w:customStyle="1">
    <w:name w:val="GPS L1 CLAUSE HEADING Char"/>
    <w:basedOn w:val="DefaultParagraphFont"/>
    <w:link w:val="GPSL1CLAUSEHEADING"/>
    <w:rsid w:val="005B7280"/>
    <w:rPr>
      <w:rFonts w:ascii="Arial Bold" w:cs="Arial" w:eastAsia="STZhongsong" w:hAnsi="Arial Bold"/>
      <w:b w:val="1"/>
      <w:caps w:val="1"/>
      <w:lang w:eastAsia="zh-CN"/>
    </w:rPr>
  </w:style>
  <w:style w:type="paragraph" w:styleId="Style1" w:customStyle="1">
    <w:name w:val="Style1"/>
    <w:basedOn w:val="Heading1"/>
    <w:link w:val="Style1Char"/>
    <w:qFormat w:val="1"/>
    <w:rsid w:val="005B7280"/>
    <w:pPr>
      <w:widowControl w:val="0"/>
      <w:spacing w:before="20" w:line="240" w:lineRule="auto"/>
    </w:pPr>
    <w:rPr>
      <w:rFonts w:ascii="Arial" w:cs="Arial" w:eastAsia="Calibri" w:hAnsi="Arial"/>
      <w:b w:val="1"/>
      <w:color w:val="auto"/>
      <w:sz w:val="36"/>
      <w:szCs w:val="36"/>
      <w:lang w:eastAsia="en-GB"/>
    </w:rPr>
  </w:style>
  <w:style w:type="character" w:styleId="Style1Char" w:customStyle="1">
    <w:name w:val="Style1 Char"/>
    <w:basedOn w:val="DefaultParagraphFont"/>
    <w:link w:val="Style1"/>
    <w:rsid w:val="005B7280"/>
    <w:rPr>
      <w:rFonts w:ascii="Arial" w:cs="Arial" w:eastAsia="Calibri" w:hAnsi="Arial"/>
      <w:b w:val="1"/>
      <w:sz w:val="36"/>
      <w:szCs w:val="36"/>
      <w:lang w:eastAsia="en-GB"/>
    </w:rPr>
  </w:style>
  <w:style w:type="paragraph" w:styleId="Style4" w:customStyle="1">
    <w:name w:val="Style4"/>
    <w:basedOn w:val="Normal"/>
    <w:link w:val="Style4Char"/>
    <w:qFormat w:val="1"/>
    <w:rsid w:val="005B7280"/>
    <w:pPr>
      <w:tabs>
        <w:tab w:val="left" w:pos="709"/>
        <w:tab w:val="left" w:pos="1134"/>
      </w:tabs>
      <w:autoSpaceDN w:val="0"/>
      <w:spacing w:after="120" w:before="120" w:line="240" w:lineRule="auto"/>
    </w:pPr>
    <w:rPr>
      <w:rFonts w:ascii="Arial" w:cs="Arial" w:eastAsia="Times New Roman" w:hAnsi="Arial"/>
      <w:b w:val="1"/>
      <w:sz w:val="24"/>
      <w:szCs w:val="20"/>
      <w:lang w:eastAsia="zh-CN"/>
    </w:rPr>
  </w:style>
  <w:style w:type="character" w:styleId="Style4Char" w:customStyle="1">
    <w:name w:val="Style4 Char"/>
    <w:basedOn w:val="DefaultParagraphFont"/>
    <w:link w:val="Style4"/>
    <w:rsid w:val="005B7280"/>
    <w:rPr>
      <w:rFonts w:ascii="Arial" w:cs="Arial" w:eastAsia="Times New Roman" w:hAnsi="Arial"/>
      <w:b w:val="1"/>
      <w:sz w:val="24"/>
      <w:szCs w:val="20"/>
      <w:lang w:eastAsia="zh-CN"/>
    </w:rPr>
  </w:style>
  <w:style w:type="character" w:styleId="Heading1Char" w:customStyle="1">
    <w:name w:val="Heading 1 Char"/>
    <w:basedOn w:val="DefaultParagraphFont"/>
    <w:link w:val="Heading1"/>
    <w:uiPriority w:val="9"/>
    <w:rsid w:val="005B7280"/>
    <w:rPr>
      <w:rFonts w:asciiTheme="majorHAnsi" w:cstheme="majorBidi" w:eastAsiaTheme="majorEastAsia" w:hAnsiTheme="majorHAnsi"/>
      <w:color w:val="2f5496" w:themeColor="accent1" w:themeShade="0000BF"/>
      <w:sz w:val="32"/>
      <w:szCs w:val="32"/>
    </w:rPr>
  </w:style>
  <w:style w:type="paragraph" w:styleId="Revision">
    <w:name w:val="Revision"/>
    <w:hidden w:val="1"/>
    <w:uiPriority w:val="99"/>
    <w:semiHidden w:val="1"/>
    <w:rsid w:val="002A144E"/>
    <w:pPr>
      <w:spacing w:after="0" w:line="240" w:lineRule="auto"/>
    </w:pPr>
  </w:style>
  <w:style w:type="character" w:styleId="CommentReference">
    <w:name w:val="annotation reference"/>
    <w:basedOn w:val="DefaultParagraphFont"/>
    <w:uiPriority w:val="99"/>
    <w:semiHidden w:val="1"/>
    <w:unhideWhenUsed w:val="1"/>
    <w:rsid w:val="00847511"/>
    <w:rPr>
      <w:sz w:val="16"/>
      <w:szCs w:val="16"/>
    </w:rPr>
  </w:style>
  <w:style w:type="paragraph" w:styleId="CommentText">
    <w:name w:val="annotation text"/>
    <w:basedOn w:val="Normal"/>
    <w:link w:val="CommentTextChar"/>
    <w:uiPriority w:val="99"/>
    <w:unhideWhenUsed w:val="1"/>
    <w:rsid w:val="00847511"/>
    <w:pPr>
      <w:spacing w:line="240" w:lineRule="auto"/>
    </w:pPr>
    <w:rPr>
      <w:sz w:val="20"/>
      <w:szCs w:val="20"/>
    </w:rPr>
  </w:style>
  <w:style w:type="character" w:styleId="CommentTextChar" w:customStyle="1">
    <w:name w:val="Comment Text Char"/>
    <w:basedOn w:val="DefaultParagraphFont"/>
    <w:link w:val="CommentText"/>
    <w:uiPriority w:val="99"/>
    <w:rsid w:val="00847511"/>
    <w:rPr>
      <w:sz w:val="20"/>
      <w:szCs w:val="20"/>
    </w:rPr>
  </w:style>
  <w:style w:type="paragraph" w:styleId="CommentSubject">
    <w:name w:val="annotation subject"/>
    <w:basedOn w:val="CommentText"/>
    <w:next w:val="CommentText"/>
    <w:link w:val="CommentSubjectChar"/>
    <w:uiPriority w:val="99"/>
    <w:semiHidden w:val="1"/>
    <w:unhideWhenUsed w:val="1"/>
    <w:rsid w:val="00847511"/>
    <w:rPr>
      <w:b w:val="1"/>
      <w:bCs w:val="1"/>
    </w:rPr>
  </w:style>
  <w:style w:type="character" w:styleId="CommentSubjectChar" w:customStyle="1">
    <w:name w:val="Comment Subject Char"/>
    <w:basedOn w:val="CommentTextChar"/>
    <w:link w:val="CommentSubject"/>
    <w:uiPriority w:val="99"/>
    <w:semiHidden w:val="1"/>
    <w:rsid w:val="00847511"/>
    <w:rPr>
      <w:b w:val="1"/>
      <w:bCs w:val="1"/>
      <w:sz w:val="20"/>
      <w:szCs w:val="20"/>
    </w:rPr>
  </w:style>
  <w:style w:type="paragraph" w:styleId="Header">
    <w:name w:val="header"/>
    <w:basedOn w:val="Normal"/>
    <w:link w:val="HeaderChar"/>
    <w:uiPriority w:val="99"/>
    <w:unhideWhenUsed w:val="1"/>
    <w:rsid w:val="00B456A7"/>
    <w:pPr>
      <w:tabs>
        <w:tab w:val="center" w:pos="4513"/>
        <w:tab w:val="right" w:pos="9026"/>
      </w:tabs>
      <w:spacing w:after="0" w:line="240" w:lineRule="auto"/>
    </w:pPr>
  </w:style>
  <w:style w:type="character" w:styleId="HeaderChar" w:customStyle="1">
    <w:name w:val="Header Char"/>
    <w:basedOn w:val="DefaultParagraphFont"/>
    <w:link w:val="Header"/>
    <w:uiPriority w:val="99"/>
    <w:rsid w:val="00B456A7"/>
  </w:style>
  <w:style w:type="paragraph" w:styleId="Footer">
    <w:name w:val="footer"/>
    <w:basedOn w:val="Normal"/>
    <w:link w:val="FooterChar"/>
    <w:uiPriority w:val="99"/>
    <w:unhideWhenUsed w:val="1"/>
    <w:rsid w:val="00B456A7"/>
    <w:pPr>
      <w:tabs>
        <w:tab w:val="center" w:pos="4513"/>
        <w:tab w:val="right" w:pos="9026"/>
      </w:tabs>
      <w:spacing w:after="0" w:line="240" w:lineRule="auto"/>
    </w:pPr>
  </w:style>
  <w:style w:type="character" w:styleId="FooterChar" w:customStyle="1">
    <w:name w:val="Footer Char"/>
    <w:basedOn w:val="DefaultParagraphFont"/>
    <w:link w:val="Footer"/>
    <w:uiPriority w:val="99"/>
    <w:rsid w:val="00B456A7"/>
  </w:style>
  <w:style w:type="character" w:styleId="normaltextrun" w:customStyle="1">
    <w:name w:val="normaltextrun"/>
    <w:basedOn w:val="DefaultParagraphFont"/>
    <w:rsid w:val="00B456A7"/>
  </w:style>
  <w:style w:type="character" w:styleId="eop" w:customStyle="1">
    <w:name w:val="eop"/>
    <w:basedOn w:val="DefaultParagraphFont"/>
    <w:rsid w:val="00B456A7"/>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dXtWBZZXflDexmjZN1Vq14Y+Og==">CgMxLjAyCGguZ2pkZ3hzMgloLjMwajB6bGw4AHIhMWFfVk5MaV9qekdBQTJBUWF3TGt3eTh5aUpaY09vYUhi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2024-12-09T13:33:00Z</dcterms:created>
  <dc:creator>Lloyd-Evans, David B2 (UKStratCom-DMS-DHC-HCP-SDIResAH)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2023-06-23T14:04:44Z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412754bf-8368-4e95-afa7-466be9dfc7ee</vt:lpwstr>
  </property>
  <property fmtid="{D5CDD505-2E9C-101B-9397-08002B2CF9AE}" pid="8" name="MSIP_Label_d8a60473-494b-4586-a1bb-b0e663054676_ContentBits">
    <vt:lpwstr>0</vt:lpwstr>
  </property>
  <property fmtid="{D5CDD505-2E9C-101B-9397-08002B2CF9AE}" pid="9" name="ContentTypeId">
    <vt:lpwstr>0x0101009CEFB75345CA724198A07DE6383DACB7</vt:lpwstr>
  </property>
  <property fmtid="{D5CDD505-2E9C-101B-9397-08002B2CF9AE}" pid="10" name="MediaServiceImageTags">
    <vt:lpwstr/>
  </property>
</Properties>
</file>